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91CF" w14:textId="157ED009" w:rsidR="00A74A61" w:rsidRDefault="002A71B5" w:rsidP="009C500C">
      <w:pPr>
        <w:spacing w:line="360" w:lineRule="auto"/>
        <w:rPr>
          <w:rFonts w:ascii="Arial" w:hAnsi="Arial"/>
          <w:iCs/>
        </w:rPr>
      </w:pPr>
      <w:r>
        <w:rPr>
          <w:rFonts w:ascii="Arial" w:hAnsi="Arial"/>
          <w:sz w:val="36"/>
        </w:rPr>
        <w:t>Le centre de tests PÖTTINGER se dote de nouvelles capacités</w:t>
      </w:r>
      <w:r>
        <w:rPr>
          <w:rFonts w:ascii="Arial" w:hAnsi="Arial"/>
          <w:sz w:val="40"/>
        </w:rPr>
        <w:t xml:space="preserve"> </w:t>
      </w:r>
    </w:p>
    <w:p w14:paraId="2ABCA043" w14:textId="01E7A470" w:rsidR="0042695D" w:rsidRDefault="00E62EC5" w:rsidP="00FF1FBF">
      <w:pPr>
        <w:spacing w:line="360" w:lineRule="auto"/>
        <w:jc w:val="both"/>
        <w:rPr>
          <w:rFonts w:ascii="Arial" w:hAnsi="Arial"/>
          <w:iCs/>
        </w:rPr>
      </w:pPr>
      <w:r>
        <w:rPr>
          <w:rFonts w:ascii="Arial" w:hAnsi="Arial"/>
        </w:rPr>
        <w:t xml:space="preserve">Le « TIZ » (acronyme de « Technologie- </w:t>
      </w:r>
      <w:proofErr w:type="spellStart"/>
      <w:r>
        <w:rPr>
          <w:rFonts w:ascii="Arial" w:hAnsi="Arial"/>
        </w:rPr>
        <w:t>und</w:t>
      </w:r>
      <w:proofErr w:type="spellEnd"/>
      <w:r>
        <w:rPr>
          <w:rFonts w:ascii="Arial" w:hAnsi="Arial"/>
        </w:rPr>
        <w:t xml:space="preserve"> </w:t>
      </w:r>
      <w:proofErr w:type="spellStart"/>
      <w:r>
        <w:rPr>
          <w:rFonts w:ascii="Arial" w:hAnsi="Arial"/>
        </w:rPr>
        <w:t>Innovationszentrum</w:t>
      </w:r>
      <w:proofErr w:type="spellEnd"/>
      <w:r>
        <w:rPr>
          <w:rFonts w:ascii="Arial" w:hAnsi="Arial"/>
        </w:rPr>
        <w:t> », traduit en français en centre de recherche et d'innovation) de Grieskirchen, dont PÖTTINGER est l'un</w:t>
      </w:r>
      <w:r w:rsidR="00565872">
        <w:rPr>
          <w:rFonts w:ascii="Arial" w:hAnsi="Arial"/>
        </w:rPr>
        <w:t>e</w:t>
      </w:r>
      <w:r>
        <w:rPr>
          <w:rFonts w:ascii="Arial" w:hAnsi="Arial"/>
        </w:rPr>
        <w:t xml:space="preserve"> des principa</w:t>
      </w:r>
      <w:r w:rsidR="00565872">
        <w:rPr>
          <w:rFonts w:ascii="Arial" w:hAnsi="Arial"/>
        </w:rPr>
        <w:t>les parties prenantes</w:t>
      </w:r>
      <w:r>
        <w:rPr>
          <w:rFonts w:ascii="Arial" w:hAnsi="Arial"/>
        </w:rPr>
        <w:t xml:space="preserve">, a été agrandi une seconde fois. En raison du grand nombre de projets, le nouveau hall – le TIZ 3 – a été mis en service dès février 2023. </w:t>
      </w:r>
    </w:p>
    <w:p w14:paraId="44EA8C2A" w14:textId="77777777" w:rsidR="00393F92" w:rsidRPr="007B3992" w:rsidRDefault="00393F92" w:rsidP="00FF1FBF">
      <w:pPr>
        <w:spacing w:line="360" w:lineRule="auto"/>
        <w:jc w:val="both"/>
        <w:rPr>
          <w:rFonts w:ascii="Arial" w:hAnsi="Arial"/>
          <w:b/>
          <w:bCs/>
          <w:iCs/>
          <w:lang w:eastAsia="en-US"/>
        </w:rPr>
      </w:pPr>
    </w:p>
    <w:p w14:paraId="253B7C52" w14:textId="0F62307B" w:rsidR="00C95E15" w:rsidRDefault="00626429" w:rsidP="00FF1FBF">
      <w:pPr>
        <w:spacing w:line="360" w:lineRule="auto"/>
        <w:jc w:val="both"/>
        <w:rPr>
          <w:rFonts w:ascii="Arial" w:hAnsi="Arial"/>
          <w:b/>
          <w:bCs/>
          <w:iCs/>
        </w:rPr>
      </w:pPr>
      <w:r>
        <w:rPr>
          <w:rFonts w:ascii="Arial" w:hAnsi="Arial"/>
          <w:b/>
        </w:rPr>
        <w:t>Des installations de contrôle ultramodernes dès le démarrage</w:t>
      </w:r>
    </w:p>
    <w:p w14:paraId="2E488CA9" w14:textId="1C3FDA2B" w:rsidR="000205FC" w:rsidRDefault="00544C84" w:rsidP="00FF1FBF">
      <w:pPr>
        <w:spacing w:line="360" w:lineRule="auto"/>
        <w:jc w:val="both"/>
        <w:rPr>
          <w:rFonts w:ascii="Arial" w:hAnsi="Arial"/>
          <w:iCs/>
        </w:rPr>
      </w:pPr>
      <w:r>
        <w:rPr>
          <w:rFonts w:ascii="Arial" w:hAnsi="Arial"/>
        </w:rPr>
        <w:t xml:space="preserve">Le TIZ a été créé en 2002. Les associés de la société « TIZ </w:t>
      </w:r>
      <w:proofErr w:type="spellStart"/>
      <w:r>
        <w:rPr>
          <w:rFonts w:ascii="Arial" w:hAnsi="Arial"/>
        </w:rPr>
        <w:t>Landl</w:t>
      </w:r>
      <w:proofErr w:type="spellEnd"/>
      <w:r>
        <w:rPr>
          <w:rFonts w:ascii="Arial" w:hAnsi="Arial"/>
        </w:rPr>
        <w:t xml:space="preserve"> Grieskirchen </w:t>
      </w:r>
      <w:proofErr w:type="spellStart"/>
      <w:r>
        <w:rPr>
          <w:rFonts w:ascii="Arial" w:hAnsi="Arial"/>
        </w:rPr>
        <w:t>GmbH</w:t>
      </w:r>
      <w:proofErr w:type="spellEnd"/>
      <w:r>
        <w:rPr>
          <w:rFonts w:ascii="Arial" w:hAnsi="Arial"/>
        </w:rPr>
        <w:t xml:space="preserve"> » sont </w:t>
      </w:r>
      <w:r w:rsidR="007B3992">
        <w:rPr>
          <w:rFonts w:ascii="Arial" w:hAnsi="Arial"/>
        </w:rPr>
        <w:t xml:space="preserve">premièrement </w:t>
      </w:r>
      <w:r>
        <w:rPr>
          <w:rFonts w:ascii="Arial" w:hAnsi="Arial"/>
        </w:rPr>
        <w:t xml:space="preserve">l'association des communes de Grieskirchen, </w:t>
      </w:r>
      <w:proofErr w:type="spellStart"/>
      <w:r>
        <w:rPr>
          <w:rFonts w:ascii="Arial" w:hAnsi="Arial"/>
        </w:rPr>
        <w:t>Sankt</w:t>
      </w:r>
      <w:proofErr w:type="spellEnd"/>
      <w:r>
        <w:rPr>
          <w:rFonts w:ascii="Arial" w:hAnsi="Arial"/>
        </w:rPr>
        <w:t xml:space="preserve"> </w:t>
      </w:r>
      <w:proofErr w:type="spellStart"/>
      <w:r>
        <w:rPr>
          <w:rFonts w:ascii="Arial" w:hAnsi="Arial"/>
        </w:rPr>
        <w:t>Georgen</w:t>
      </w:r>
      <w:proofErr w:type="spellEnd"/>
      <w:r w:rsidR="007B3992">
        <w:rPr>
          <w:rFonts w:ascii="Arial" w:hAnsi="Arial"/>
        </w:rPr>
        <w:t xml:space="preserve"> et</w:t>
      </w:r>
      <w:r>
        <w:rPr>
          <w:rFonts w:ascii="Arial" w:hAnsi="Arial"/>
        </w:rPr>
        <w:t xml:space="preserve"> </w:t>
      </w:r>
      <w:proofErr w:type="spellStart"/>
      <w:r>
        <w:rPr>
          <w:rFonts w:ascii="Arial" w:hAnsi="Arial"/>
        </w:rPr>
        <w:t>Tollet</w:t>
      </w:r>
      <w:proofErr w:type="spellEnd"/>
      <w:r>
        <w:rPr>
          <w:rFonts w:ascii="Arial" w:hAnsi="Arial"/>
        </w:rPr>
        <w:t xml:space="preserve">, </w:t>
      </w:r>
      <w:r w:rsidR="007B3992">
        <w:rPr>
          <w:rFonts w:ascii="Arial" w:hAnsi="Arial"/>
        </w:rPr>
        <w:t xml:space="preserve">deuxièmement </w:t>
      </w:r>
      <w:r>
        <w:rPr>
          <w:rFonts w:ascii="Arial" w:hAnsi="Arial"/>
        </w:rPr>
        <w:t xml:space="preserve">l'entreprise PÖTTINGER </w:t>
      </w:r>
      <w:proofErr w:type="spellStart"/>
      <w:r>
        <w:rPr>
          <w:rFonts w:ascii="Arial" w:hAnsi="Arial"/>
        </w:rPr>
        <w:t>Landtechnik</w:t>
      </w:r>
      <w:proofErr w:type="spellEnd"/>
      <w:r>
        <w:rPr>
          <w:rFonts w:ascii="Arial" w:hAnsi="Arial"/>
        </w:rPr>
        <w:t xml:space="preserve"> </w:t>
      </w:r>
      <w:proofErr w:type="spellStart"/>
      <w:r>
        <w:rPr>
          <w:rFonts w:ascii="Arial" w:hAnsi="Arial"/>
        </w:rPr>
        <w:t>GmbH</w:t>
      </w:r>
      <w:proofErr w:type="spellEnd"/>
      <w:r>
        <w:rPr>
          <w:rFonts w:ascii="Arial" w:hAnsi="Arial"/>
        </w:rPr>
        <w:t xml:space="preserve"> et </w:t>
      </w:r>
      <w:r w:rsidR="007B3992">
        <w:rPr>
          <w:rFonts w:ascii="Arial" w:hAnsi="Arial"/>
        </w:rPr>
        <w:t xml:space="preserve">troisièmement </w:t>
      </w:r>
      <w:r>
        <w:rPr>
          <w:rFonts w:ascii="Arial" w:hAnsi="Arial"/>
        </w:rPr>
        <w:t xml:space="preserve">l'agence de développement économique local Business </w:t>
      </w:r>
      <w:proofErr w:type="spellStart"/>
      <w:r>
        <w:rPr>
          <w:rFonts w:ascii="Arial" w:hAnsi="Arial"/>
        </w:rPr>
        <w:t>Upper</w:t>
      </w:r>
      <w:proofErr w:type="spellEnd"/>
      <w:r>
        <w:rPr>
          <w:rFonts w:ascii="Arial" w:hAnsi="Arial"/>
        </w:rPr>
        <w:t xml:space="preserve"> </w:t>
      </w:r>
      <w:proofErr w:type="spellStart"/>
      <w:r>
        <w:rPr>
          <w:rFonts w:ascii="Arial" w:hAnsi="Arial"/>
        </w:rPr>
        <w:t>Austria</w:t>
      </w:r>
      <w:proofErr w:type="spellEnd"/>
      <w:r w:rsidR="007B3992">
        <w:rPr>
          <w:rFonts w:ascii="Arial" w:hAnsi="Arial"/>
        </w:rPr>
        <w:t> . Chacune de ces entités</w:t>
      </w:r>
      <w:r>
        <w:rPr>
          <w:rFonts w:ascii="Arial" w:hAnsi="Arial"/>
        </w:rPr>
        <w:t xml:space="preserve"> dét</w:t>
      </w:r>
      <w:r w:rsidR="007B3992">
        <w:rPr>
          <w:rFonts w:ascii="Arial" w:hAnsi="Arial"/>
        </w:rPr>
        <w:t>enant</w:t>
      </w:r>
      <w:r>
        <w:rPr>
          <w:rFonts w:ascii="Arial" w:hAnsi="Arial"/>
        </w:rPr>
        <w:t xml:space="preserve"> un tiers des parts. Le TIZ et PÖTTINGER, en tant qu'entreprise pilote, exploitent en étroite coopération un centre de recherche et d'expérimentation moderne. Depuis de nombreuses années, il jouit d'une très bonne réputation, y compris au niveau international. Les points forts du centre de tests PÖTTINGER sont la construction de prototypes, les essais pratiques pour les tests sur le terrain ainsi que les systèmes de mesure et de contrôle. Dans le domaine des systèmes de mesure et de contrôle, outre les matériels agricoles PÖTTINGER, des campagnes d'essai sont menées en collaboration par le TIZ pour des clients externes. La mission du centre d'essai est – dans le cadre du développement des matériels agricoles – de générer un savoir-faire pour le passage à la production en série et de collaborer avec des exploitations témoins afin de garantir le meilleur résultat au travail. En outre, le contrôle de la robustesse sur toute la durée de vie est effectué dans les conditions d'utilisation, identiques à celles du terrain, sur les bancs d'essai. </w:t>
      </w:r>
    </w:p>
    <w:p w14:paraId="6B7B6431" w14:textId="2894F321" w:rsidR="00DD00B2" w:rsidRDefault="00086902" w:rsidP="00FF1FBF">
      <w:pPr>
        <w:spacing w:line="360" w:lineRule="auto"/>
        <w:jc w:val="both"/>
        <w:rPr>
          <w:rFonts w:ascii="Arial" w:hAnsi="Arial"/>
          <w:iCs/>
        </w:rPr>
      </w:pPr>
      <w:r>
        <w:rPr>
          <w:rFonts w:ascii="Arial" w:hAnsi="Arial"/>
        </w:rPr>
        <w:t>La nouvelle partie du site (TIZ 3) fournit des capacités supplémentaires et comprend une surface de hall de 1 800 m</w:t>
      </w:r>
      <w:r>
        <w:rPr>
          <w:rFonts w:ascii="Arial" w:hAnsi="Arial"/>
          <w:vertAlign w:val="superscript"/>
        </w:rPr>
        <w:t>2</w:t>
      </w:r>
      <w:r>
        <w:rPr>
          <w:rFonts w:ascii="Arial" w:hAnsi="Arial"/>
        </w:rPr>
        <w:t>. Sur ce total, 1 300 m</w:t>
      </w:r>
      <w:r>
        <w:rPr>
          <w:rFonts w:ascii="Arial" w:hAnsi="Arial"/>
          <w:vertAlign w:val="superscript"/>
        </w:rPr>
        <w:t>2</w:t>
      </w:r>
      <w:r>
        <w:rPr>
          <w:rFonts w:ascii="Arial" w:hAnsi="Arial"/>
        </w:rPr>
        <w:t xml:space="preserve"> sont consacrés uniquement à la partie relative aux essais, le reste étant destiné à la construction </w:t>
      </w:r>
      <w:r>
        <w:rPr>
          <w:rFonts w:ascii="Arial" w:hAnsi="Arial"/>
        </w:rPr>
        <w:lastRenderedPageBreak/>
        <w:t>des prototypes. Les installations comprennent un banc d'essai de composants de 30 x 12 m pour des montages de bancs d'essai spécifiques, aussi bien pour la clientèle du TIZ que pour les matériels agricoles PÖTTINGER. Les vérins de tests sont alimentés en énergie par un bloc hydraulique d'une puissance électrique de 400 kW. Deux grues de 10 tonnes permettent de soulever des machines entièrement montées sur la structure du banc d'essai. Au premier étage, sur une surface de 500 m</w:t>
      </w:r>
      <w:r>
        <w:rPr>
          <w:rFonts w:ascii="Arial" w:hAnsi="Arial"/>
          <w:vertAlign w:val="superscript"/>
        </w:rPr>
        <w:t>2</w:t>
      </w:r>
      <w:r>
        <w:rPr>
          <w:rFonts w:ascii="Arial" w:hAnsi="Arial"/>
        </w:rPr>
        <w:t xml:space="preserve">, se trouvent des bureaux et des salles de réunion modernes dans lesquels les techniciens d'essais de PÖTTINGER et du TIZ pilotent et planifient les projets d'essais en étroite collaboration. </w:t>
      </w:r>
    </w:p>
    <w:p w14:paraId="697C509B" w14:textId="59297C1E" w:rsidR="004000F6" w:rsidRDefault="00424E09" w:rsidP="00FF1FBF">
      <w:pPr>
        <w:spacing w:line="360" w:lineRule="auto"/>
        <w:jc w:val="both"/>
        <w:rPr>
          <w:rFonts w:ascii="Arial" w:hAnsi="Arial"/>
          <w:iCs/>
        </w:rPr>
      </w:pPr>
      <w:r>
        <w:rPr>
          <w:rFonts w:ascii="Arial" w:hAnsi="Arial"/>
        </w:rPr>
        <w:t xml:space="preserve">Le TIZ de Grieskirchen abrite les installations d'essai de composants les plus modernes d'Europe, que PÖTTINGER exploite pour les tests intensifs de ses matériels agricoles. La société TIZ </w:t>
      </w:r>
      <w:proofErr w:type="spellStart"/>
      <w:r>
        <w:rPr>
          <w:rFonts w:ascii="Arial" w:hAnsi="Arial"/>
        </w:rPr>
        <w:t>Landl</w:t>
      </w:r>
      <w:proofErr w:type="spellEnd"/>
      <w:r>
        <w:rPr>
          <w:rFonts w:ascii="Arial" w:hAnsi="Arial"/>
        </w:rPr>
        <w:t xml:space="preserve"> </w:t>
      </w:r>
      <w:proofErr w:type="spellStart"/>
      <w:r>
        <w:rPr>
          <w:rFonts w:ascii="Arial" w:hAnsi="Arial"/>
        </w:rPr>
        <w:t>GmbH</w:t>
      </w:r>
      <w:proofErr w:type="spellEnd"/>
      <w:r>
        <w:rPr>
          <w:rFonts w:ascii="Arial" w:hAnsi="Arial"/>
        </w:rPr>
        <w:t xml:space="preserve"> traite également des demandes de tests de la part d'entreprises tiers issues de nombreux pays, qui bénéficient ainsi du savoir-faire en matière de tests du secteur du machinisme agricole. L'extension permet d'élargir le périmètre des essais, notamment pour les tests approfondis en charge opérationnelle de machines entières. En outre, cela signifie l'entrée dans des scénarios de test pour l'électromobilité, y compris le test de composants haute tension. Markus Baldinger, directeur de PÖTTINGER pour la recherche, le développement et la numérisation, expose les motivations</w:t>
      </w:r>
      <w:r w:rsidR="007B3992">
        <w:rPr>
          <w:rFonts w:ascii="Arial" w:hAnsi="Arial"/>
        </w:rPr>
        <w:t> </w:t>
      </w:r>
      <w:r>
        <w:rPr>
          <w:rFonts w:ascii="Arial" w:hAnsi="Arial"/>
        </w:rPr>
        <w:t>: « </w:t>
      </w:r>
      <w:r w:rsidR="007B3992" w:rsidRPr="007B3992">
        <w:rPr>
          <w:rFonts w:ascii="Arial" w:hAnsi="Arial"/>
          <w:i/>
          <w:iCs/>
        </w:rPr>
        <w:t>e</w:t>
      </w:r>
      <w:r w:rsidRPr="007B3992">
        <w:rPr>
          <w:rFonts w:ascii="Arial" w:hAnsi="Arial"/>
          <w:i/>
          <w:iCs/>
        </w:rPr>
        <w:t>n plus de nos investissements dans nos usines de production modernes, nous mettons fortement l'accent sur les possibilités de test et de contrôle de nos matériels agricoles. Avec cet investissement supplémentaire dans le TIZ 3, nous tenons la promesse faite à nos clients concernant la qualité élevée, la stabilité, la sécurité d'utilisation et la longévité.</w:t>
      </w:r>
      <w:r>
        <w:rPr>
          <w:rFonts w:ascii="Arial" w:hAnsi="Arial"/>
        </w:rPr>
        <w:t xml:space="preserve"> » Les tests dans des conditions d'utilisation proches de la pratique permettent d'économiser jusqu'à 75 % du temps et des coûts par rapport aux essais pratiques sur le terrain. Ainsi, un nouvel équipement a été créé dans l'un des centres d'essai de composants les plus modernes d'Europe, afin de pouvoir offrir encore plus de possibilités. </w:t>
      </w:r>
    </w:p>
    <w:p w14:paraId="3C00D81E" w14:textId="42F38568" w:rsidR="00814B95" w:rsidRDefault="00B70286" w:rsidP="00FF1FBF">
      <w:pPr>
        <w:spacing w:line="360" w:lineRule="auto"/>
        <w:jc w:val="both"/>
        <w:rPr>
          <w:rFonts w:ascii="Arial" w:hAnsi="Arial"/>
        </w:rPr>
      </w:pPr>
      <w:r>
        <w:rPr>
          <w:rFonts w:ascii="Arial" w:hAnsi="Arial"/>
        </w:rPr>
        <w:t>« </w:t>
      </w:r>
      <w:r w:rsidRPr="007B3992">
        <w:rPr>
          <w:rFonts w:ascii="Arial" w:hAnsi="Arial"/>
          <w:i/>
          <w:iCs/>
        </w:rPr>
        <w:t xml:space="preserve">Nos matériels sont synonymes du meilleur résultat de travail possible. Nous avons l'exigence d'une qualité, d'une sécurité d'utilisation et d'une longévité maximales. Grâce à ce hall supplémentaire et aux nouvelles possibilités techniques, nous pouvons offrir encore plus à notre clientèle. Avec le test pour la </w:t>
      </w:r>
      <w:r w:rsidRPr="007B3992">
        <w:rPr>
          <w:rFonts w:ascii="Arial" w:hAnsi="Arial"/>
          <w:i/>
          <w:iCs/>
        </w:rPr>
        <w:lastRenderedPageBreak/>
        <w:t>mobilité électrique, nous sommes dans l'air du temps et nous pouvons nous adresser à d'autres entreprises par le biais du TIZ</w:t>
      </w:r>
      <w:r>
        <w:rPr>
          <w:rFonts w:ascii="Arial" w:hAnsi="Arial"/>
        </w:rPr>
        <w:t> » déclare Markus Baldinger, convaincu du succès de l'extension. Les nouveaux bureaux offrent des postes de travail attrayants dans un environnement de haute technologie.</w:t>
      </w:r>
    </w:p>
    <w:p w14:paraId="41FB6992" w14:textId="77777777" w:rsidR="007B3992" w:rsidRDefault="007B3992" w:rsidP="00FF1FBF">
      <w:pPr>
        <w:spacing w:line="360" w:lineRule="auto"/>
        <w:jc w:val="both"/>
        <w:rPr>
          <w:rFonts w:ascii="Arial" w:hAnsi="Arial"/>
          <w:iCs/>
        </w:rPr>
      </w:pPr>
    </w:p>
    <w:p w14:paraId="246DFB33" w14:textId="1B0ADAD4" w:rsidR="00D06550" w:rsidRDefault="001D2A19" w:rsidP="001757E6">
      <w:pPr>
        <w:spacing w:line="360" w:lineRule="auto"/>
        <w:jc w:val="both"/>
        <w:rPr>
          <w:rFonts w:ascii="Arial" w:hAnsi="Arial"/>
          <w:b/>
          <w:bCs/>
          <w:iCs/>
        </w:rPr>
      </w:pPr>
      <w:r>
        <w:rPr>
          <w:rFonts w:ascii="Arial" w:hAnsi="Arial"/>
          <w:b/>
        </w:rPr>
        <w:t>Aperçu des photos :</w:t>
      </w:r>
    </w:p>
    <w:p w14:paraId="03D4EABE" w14:textId="44283DEA" w:rsidR="007B7D98" w:rsidRDefault="007B7D98" w:rsidP="007B7D98">
      <w:pPr>
        <w:rPr>
          <w:rFonts w:ascii="Arial" w:hAnsi="Arial"/>
          <w:b/>
          <w:bCs/>
          <w:iCs/>
          <w:lang w:val="de-AT" w:eastAsia="en-US"/>
        </w:rPr>
      </w:pPr>
    </w:p>
    <w:tbl>
      <w:tblPr>
        <w:tblStyle w:val="Grilledutableau"/>
        <w:tblW w:w="9067" w:type="dxa"/>
        <w:tblLayout w:type="fixed"/>
        <w:tblLook w:val="04A0" w:firstRow="1" w:lastRow="0" w:firstColumn="1" w:lastColumn="0" w:noHBand="0" w:noVBand="1"/>
      </w:tblPr>
      <w:tblGrid>
        <w:gridCol w:w="3022"/>
        <w:gridCol w:w="3022"/>
        <w:gridCol w:w="3023"/>
      </w:tblGrid>
      <w:tr w:rsidR="007B7D98" w14:paraId="1CDFE2B4" w14:textId="77777777" w:rsidTr="007B3992">
        <w:tc>
          <w:tcPr>
            <w:tcW w:w="3022" w:type="dxa"/>
            <w:vAlign w:val="center"/>
          </w:tcPr>
          <w:p w14:paraId="0A77E17B" w14:textId="5F5302D4" w:rsidR="007B7D98" w:rsidRPr="007B3992" w:rsidRDefault="00B04A50" w:rsidP="007B3992">
            <w:pPr>
              <w:spacing w:before="120" w:after="120"/>
              <w:jc w:val="center"/>
              <w:rPr>
                <w:rFonts w:ascii="Arial" w:hAnsi="Arial"/>
              </w:rPr>
            </w:pPr>
            <w:r>
              <w:rPr>
                <w:noProof/>
              </w:rPr>
              <w:drawing>
                <wp:inline distT="0" distB="0" distL="0" distR="0" wp14:anchorId="6096735E" wp14:editId="140BB327">
                  <wp:extent cx="1472490" cy="828000"/>
                  <wp:effectExtent l="0" t="0" r="0" b="0"/>
                  <wp:docPr id="2378210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490" cy="828000"/>
                          </a:xfrm>
                          <a:prstGeom prst="rect">
                            <a:avLst/>
                          </a:prstGeom>
                          <a:noFill/>
                          <a:ln>
                            <a:noFill/>
                          </a:ln>
                        </pic:spPr>
                      </pic:pic>
                    </a:graphicData>
                  </a:graphic>
                </wp:inline>
              </w:drawing>
            </w:r>
          </w:p>
        </w:tc>
        <w:tc>
          <w:tcPr>
            <w:tcW w:w="3022" w:type="dxa"/>
            <w:vAlign w:val="center"/>
          </w:tcPr>
          <w:p w14:paraId="3411D472" w14:textId="2AAF41C2" w:rsidR="007B7D98" w:rsidRDefault="00133716" w:rsidP="007B3992">
            <w:pPr>
              <w:spacing w:before="120" w:after="120"/>
              <w:jc w:val="center"/>
              <w:rPr>
                <w:rFonts w:ascii="Arial" w:hAnsi="Arial"/>
              </w:rPr>
            </w:pPr>
            <w:r>
              <w:rPr>
                <w:noProof/>
              </w:rPr>
              <w:drawing>
                <wp:inline distT="0" distB="0" distL="0" distR="0" wp14:anchorId="3922E437" wp14:editId="3CB79B05">
                  <wp:extent cx="1472491" cy="828000"/>
                  <wp:effectExtent l="0" t="0" r="0" b="0"/>
                  <wp:docPr id="7234691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2491" cy="828000"/>
                          </a:xfrm>
                          <a:prstGeom prst="rect">
                            <a:avLst/>
                          </a:prstGeom>
                          <a:noFill/>
                          <a:ln>
                            <a:noFill/>
                          </a:ln>
                        </pic:spPr>
                      </pic:pic>
                    </a:graphicData>
                  </a:graphic>
                </wp:inline>
              </w:drawing>
            </w:r>
          </w:p>
        </w:tc>
        <w:tc>
          <w:tcPr>
            <w:tcW w:w="3023" w:type="dxa"/>
            <w:vAlign w:val="center"/>
          </w:tcPr>
          <w:p w14:paraId="2B0FEC10" w14:textId="1B018A35" w:rsidR="007B7D98" w:rsidRDefault="006E1A60" w:rsidP="007B3992">
            <w:pPr>
              <w:spacing w:before="120" w:after="120"/>
              <w:jc w:val="center"/>
              <w:rPr>
                <w:rFonts w:ascii="Arial" w:hAnsi="Arial"/>
              </w:rPr>
            </w:pPr>
            <w:r>
              <w:rPr>
                <w:noProof/>
              </w:rPr>
              <w:drawing>
                <wp:inline distT="0" distB="0" distL="0" distR="0" wp14:anchorId="13CA732D" wp14:editId="66DEF5BE">
                  <wp:extent cx="1472492" cy="828000"/>
                  <wp:effectExtent l="0" t="0" r="0" b="0"/>
                  <wp:docPr id="166952169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2492" cy="828000"/>
                          </a:xfrm>
                          <a:prstGeom prst="rect">
                            <a:avLst/>
                          </a:prstGeom>
                          <a:noFill/>
                          <a:ln>
                            <a:noFill/>
                          </a:ln>
                        </pic:spPr>
                      </pic:pic>
                    </a:graphicData>
                  </a:graphic>
                </wp:inline>
              </w:drawing>
            </w:r>
          </w:p>
        </w:tc>
      </w:tr>
      <w:tr w:rsidR="007B7D98" w:rsidRPr="006E1A60" w14:paraId="2298CD3D" w14:textId="77777777" w:rsidTr="007B3992">
        <w:tc>
          <w:tcPr>
            <w:tcW w:w="3022" w:type="dxa"/>
            <w:vAlign w:val="center"/>
          </w:tcPr>
          <w:p w14:paraId="5408D268" w14:textId="5320D021" w:rsidR="007B7D98" w:rsidRPr="006E1A60" w:rsidRDefault="007B7D98" w:rsidP="007B3992">
            <w:pPr>
              <w:spacing w:before="120" w:after="120"/>
              <w:jc w:val="center"/>
              <w:rPr>
                <w:rFonts w:ascii="Arial" w:hAnsi="Arial"/>
                <w:sz w:val="22"/>
                <w:szCs w:val="22"/>
              </w:rPr>
            </w:pPr>
            <w:r>
              <w:rPr>
                <w:rFonts w:ascii="Arial" w:hAnsi="Arial"/>
                <w:sz w:val="22"/>
              </w:rPr>
              <w:t>Test de résistance sur la durée de vie</w:t>
            </w:r>
          </w:p>
        </w:tc>
        <w:tc>
          <w:tcPr>
            <w:tcW w:w="3022" w:type="dxa"/>
            <w:vAlign w:val="center"/>
          </w:tcPr>
          <w:p w14:paraId="717CB067" w14:textId="60FC6045" w:rsidR="007B7D98" w:rsidRPr="006E1A60" w:rsidRDefault="007B7D98" w:rsidP="007B3992">
            <w:pPr>
              <w:spacing w:before="120" w:after="120"/>
              <w:jc w:val="center"/>
              <w:rPr>
                <w:rFonts w:ascii="Arial" w:hAnsi="Arial"/>
                <w:sz w:val="22"/>
                <w:szCs w:val="22"/>
              </w:rPr>
            </w:pPr>
            <w:r>
              <w:rPr>
                <w:rFonts w:ascii="Arial" w:hAnsi="Arial"/>
                <w:sz w:val="22"/>
              </w:rPr>
              <w:t>Un environnement moderne pour des possibilités de test innovantes – test de composants</w:t>
            </w:r>
          </w:p>
        </w:tc>
        <w:tc>
          <w:tcPr>
            <w:tcW w:w="3023" w:type="dxa"/>
            <w:vAlign w:val="center"/>
          </w:tcPr>
          <w:p w14:paraId="57884A57" w14:textId="568FE4D4" w:rsidR="007B7D98" w:rsidRPr="006E1A60" w:rsidRDefault="00952484" w:rsidP="007B3992">
            <w:pPr>
              <w:spacing w:before="120" w:after="120"/>
              <w:jc w:val="center"/>
              <w:rPr>
                <w:rFonts w:ascii="Arial" w:hAnsi="Arial"/>
                <w:sz w:val="22"/>
                <w:szCs w:val="22"/>
              </w:rPr>
            </w:pPr>
            <w:r>
              <w:rPr>
                <w:rFonts w:ascii="Arial" w:hAnsi="Arial"/>
                <w:sz w:val="22"/>
              </w:rPr>
              <w:t>La construction de prototypes est un volet essentiel du TIZ 3</w:t>
            </w:r>
          </w:p>
        </w:tc>
      </w:tr>
      <w:tr w:rsidR="007B7D98" w:rsidRPr="006E1A60" w14:paraId="1F15DD25" w14:textId="77777777" w:rsidTr="007B3992">
        <w:tc>
          <w:tcPr>
            <w:tcW w:w="3022" w:type="dxa"/>
            <w:vAlign w:val="center"/>
          </w:tcPr>
          <w:p w14:paraId="5B066AA2" w14:textId="6DB85DD5" w:rsidR="00B45620" w:rsidRPr="007B3992" w:rsidRDefault="00565872" w:rsidP="007B3992">
            <w:pPr>
              <w:spacing w:before="120" w:after="120"/>
              <w:jc w:val="center"/>
              <w:rPr>
                <w:rFonts w:ascii="Arial" w:hAnsi="Arial"/>
                <w:sz w:val="20"/>
                <w:szCs w:val="20"/>
                <w:lang w:eastAsia="en-US"/>
              </w:rPr>
            </w:pPr>
            <w:hyperlink r:id="rId14" w:history="1">
              <w:r w:rsidR="006939A4">
                <w:rPr>
                  <w:rStyle w:val="Lienhypertexte"/>
                  <w:rFonts w:ascii="Arial" w:hAnsi="Arial"/>
                  <w:sz w:val="20"/>
                </w:rPr>
                <w:t>https://www.poettinger.at/fr_fr/newsroom/pressebild/102116</w:t>
              </w:r>
            </w:hyperlink>
          </w:p>
        </w:tc>
        <w:tc>
          <w:tcPr>
            <w:tcW w:w="3022" w:type="dxa"/>
            <w:vAlign w:val="center"/>
          </w:tcPr>
          <w:p w14:paraId="2035C203" w14:textId="54F49CD4" w:rsidR="002055E3" w:rsidRPr="007B3992" w:rsidRDefault="00565872" w:rsidP="007B3992">
            <w:pPr>
              <w:spacing w:before="120" w:after="120"/>
              <w:jc w:val="center"/>
              <w:rPr>
                <w:rFonts w:ascii="Arial" w:hAnsi="Arial"/>
                <w:sz w:val="20"/>
                <w:szCs w:val="20"/>
                <w:lang w:eastAsia="en-US"/>
              </w:rPr>
            </w:pPr>
            <w:hyperlink r:id="rId15" w:history="1">
              <w:r w:rsidR="006939A4">
                <w:rPr>
                  <w:rStyle w:val="Lienhypertexte"/>
                  <w:rFonts w:ascii="Arial" w:hAnsi="Arial"/>
                  <w:sz w:val="20"/>
                </w:rPr>
                <w:t>https://www.poettinger.at/fr_fr/newsroom/pressebild/102114</w:t>
              </w:r>
            </w:hyperlink>
          </w:p>
        </w:tc>
        <w:tc>
          <w:tcPr>
            <w:tcW w:w="3023" w:type="dxa"/>
            <w:vAlign w:val="center"/>
          </w:tcPr>
          <w:p w14:paraId="4960BBEA" w14:textId="473152F2" w:rsidR="006E1A60" w:rsidRPr="007B3992" w:rsidRDefault="00565872" w:rsidP="007B3992">
            <w:pPr>
              <w:spacing w:before="120" w:after="120"/>
              <w:jc w:val="center"/>
              <w:rPr>
                <w:rFonts w:ascii="Arial" w:hAnsi="Arial"/>
                <w:sz w:val="20"/>
                <w:szCs w:val="20"/>
                <w:lang w:eastAsia="en-US"/>
              </w:rPr>
            </w:pPr>
            <w:hyperlink r:id="rId16" w:history="1">
              <w:r w:rsidR="006939A4">
                <w:rPr>
                  <w:rStyle w:val="Lienhypertexte"/>
                  <w:rFonts w:ascii="Arial" w:hAnsi="Arial"/>
                  <w:sz w:val="20"/>
                </w:rPr>
                <w:t>https://www.poettinger.at/fr_fr/newsroom/pressebild/102130</w:t>
              </w:r>
            </w:hyperlink>
          </w:p>
        </w:tc>
      </w:tr>
    </w:tbl>
    <w:p w14:paraId="5EAA54BF" w14:textId="77777777" w:rsidR="007B7D98" w:rsidRPr="007B3992" w:rsidRDefault="007B7D98" w:rsidP="007B7D98">
      <w:pPr>
        <w:rPr>
          <w:rFonts w:ascii="Arial" w:hAnsi="Arial"/>
          <w:lang w:eastAsia="en-US"/>
        </w:rPr>
      </w:pPr>
    </w:p>
    <w:p w14:paraId="099E377E" w14:textId="77777777" w:rsidR="007434F1" w:rsidRPr="007B3992" w:rsidRDefault="007434F1" w:rsidP="00F868AE">
      <w:pPr>
        <w:autoSpaceDE w:val="0"/>
        <w:autoSpaceDN w:val="0"/>
        <w:adjustRightInd w:val="0"/>
        <w:spacing w:line="360" w:lineRule="auto"/>
        <w:jc w:val="center"/>
        <w:rPr>
          <w:rFonts w:ascii="Arial" w:hAnsi="Arial"/>
          <w:sz w:val="20"/>
          <w:szCs w:val="20"/>
          <w:lang w:eastAsia="en-US"/>
        </w:rPr>
      </w:pPr>
    </w:p>
    <w:sectPr w:rsidR="007434F1" w:rsidRPr="007B3992" w:rsidSect="00612F9A">
      <w:headerReference w:type="default" r:id="rId17"/>
      <w:footerReference w:type="default" r:id="rId18"/>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E8E4" w14:textId="77777777" w:rsidR="004D7F31" w:rsidRDefault="004D7F31">
      <w:r>
        <w:separator/>
      </w:r>
    </w:p>
  </w:endnote>
  <w:endnote w:type="continuationSeparator" w:id="0">
    <w:p w14:paraId="220B372E" w14:textId="77777777" w:rsidR="004D7F31" w:rsidRDefault="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C75E" w14:textId="1C940B21" w:rsidR="00672366" w:rsidRDefault="00672366" w:rsidP="00A33469">
    <w:pPr>
      <w:rPr>
        <w:rFonts w:ascii="Arial" w:hAnsi="Arial"/>
        <w:b/>
        <w:sz w:val="18"/>
        <w:szCs w:val="18"/>
      </w:rPr>
    </w:pPr>
  </w:p>
  <w:p w14:paraId="0E7E207A" w14:textId="5204C67F" w:rsidR="00A33469" w:rsidRPr="00565872" w:rsidRDefault="00A33469" w:rsidP="00A33469">
    <w:pPr>
      <w:rPr>
        <w:rFonts w:ascii="Arial" w:hAnsi="Arial" w:cs="Arial"/>
        <w:b/>
        <w:sz w:val="18"/>
        <w:szCs w:val="18"/>
      </w:rPr>
    </w:pPr>
    <w:r w:rsidRPr="00565872">
      <w:rPr>
        <w:rFonts w:ascii="Arial" w:hAnsi="Arial"/>
        <w:b/>
        <w:sz w:val="18"/>
      </w:rPr>
      <w:t xml:space="preserve">PÖTTINGER </w:t>
    </w:r>
    <w:proofErr w:type="spellStart"/>
    <w:r w:rsidRPr="00565872">
      <w:rPr>
        <w:rFonts w:ascii="Arial" w:hAnsi="Arial"/>
        <w:b/>
        <w:sz w:val="18"/>
      </w:rPr>
      <w:t>Landtechnik</w:t>
    </w:r>
    <w:proofErr w:type="spellEnd"/>
    <w:r w:rsidRPr="00565872">
      <w:rPr>
        <w:rFonts w:ascii="Arial" w:hAnsi="Arial"/>
        <w:b/>
        <w:sz w:val="18"/>
      </w:rPr>
      <w:t xml:space="preserve"> </w:t>
    </w:r>
    <w:proofErr w:type="spellStart"/>
    <w:r w:rsidRPr="00565872">
      <w:rPr>
        <w:rFonts w:ascii="Arial" w:hAnsi="Arial"/>
        <w:b/>
        <w:sz w:val="18"/>
      </w:rPr>
      <w:t>GmbH</w:t>
    </w:r>
    <w:proofErr w:type="spellEnd"/>
    <w:r w:rsidRPr="00565872">
      <w:rPr>
        <w:rFonts w:ascii="Arial" w:hAnsi="Arial"/>
        <w:b/>
        <w:sz w:val="18"/>
      </w:rPr>
      <w:t xml:space="preserve"> </w:t>
    </w:r>
    <w:r w:rsidR="00565872" w:rsidRPr="00565872">
      <w:rPr>
        <w:rFonts w:ascii="Arial" w:hAnsi="Arial"/>
        <w:b/>
        <w:sz w:val="18"/>
      </w:rPr>
      <w:t>–</w:t>
    </w:r>
    <w:r w:rsidRPr="00565872">
      <w:rPr>
        <w:rFonts w:ascii="Arial" w:hAnsi="Arial"/>
        <w:b/>
        <w:sz w:val="18"/>
      </w:rPr>
      <w:t xml:space="preserve"> </w:t>
    </w:r>
    <w:r w:rsidR="00565872" w:rsidRPr="00565872">
      <w:rPr>
        <w:rFonts w:ascii="Arial" w:hAnsi="Arial"/>
        <w:b/>
        <w:sz w:val="18"/>
      </w:rPr>
      <w:t>Communication d</w:t>
    </w:r>
    <w:r w:rsidR="00565872">
      <w:rPr>
        <w:rFonts w:ascii="Arial" w:hAnsi="Arial"/>
        <w:b/>
        <w:sz w:val="18"/>
      </w:rPr>
      <w:t>’</w:t>
    </w:r>
    <w:r w:rsidR="00565872" w:rsidRPr="00565872">
      <w:rPr>
        <w:rFonts w:ascii="Arial" w:hAnsi="Arial"/>
        <w:b/>
        <w:sz w:val="18"/>
      </w:rPr>
      <w:t>entrepris</w:t>
    </w:r>
    <w:r w:rsidR="00565872">
      <w:rPr>
        <w:rFonts w:ascii="Arial" w:hAnsi="Arial"/>
        <w:b/>
        <w:sz w:val="18"/>
      </w:rPr>
      <w:t>e</w:t>
    </w:r>
  </w:p>
  <w:p w14:paraId="17B09967" w14:textId="77777777" w:rsidR="00A33469" w:rsidRPr="007B3992" w:rsidRDefault="00A33469" w:rsidP="00A33469">
    <w:pPr>
      <w:rPr>
        <w:rFonts w:ascii="Arial" w:hAnsi="Arial" w:cs="Arial"/>
        <w:sz w:val="18"/>
        <w:szCs w:val="18"/>
        <w:lang w:val="de-DE"/>
      </w:rPr>
    </w:pPr>
    <w:r w:rsidRPr="007B3992">
      <w:rPr>
        <w:rFonts w:ascii="Arial" w:hAnsi="Arial"/>
        <w:sz w:val="18"/>
        <w:lang w:val="de-DE"/>
      </w:rPr>
      <w:t>Inge Steibl, Industriegelände 1, A-4710 Grieskirchen</w:t>
    </w:r>
  </w:p>
  <w:p w14:paraId="6CF9B6EB" w14:textId="2EBD0B2B" w:rsidR="00A33469" w:rsidRDefault="00A33469" w:rsidP="00A33469">
    <w:pPr>
      <w:pStyle w:val="Pieddepage"/>
    </w:pPr>
    <w:r>
      <w:rPr>
        <w:rFonts w:ascii="Arial" w:hAnsi="Arial"/>
        <w:sz w:val="18"/>
      </w:rPr>
      <w:t xml:space="preserve">Tél. +43 7248 600-2415, </w:t>
    </w:r>
    <w:r w:rsidR="00565872">
      <w:rPr>
        <w:rFonts w:ascii="Arial" w:hAnsi="Arial"/>
        <w:sz w:val="18"/>
      </w:rPr>
      <w:t>e-</w:t>
    </w:r>
    <w:r>
      <w:rPr>
        <w:rFonts w:ascii="Arial" w:hAnsi="Arial"/>
        <w:sz w:val="18"/>
      </w:rPr>
      <w:t>mail</w:t>
    </w:r>
    <w:r w:rsidR="00565872">
      <w:rPr>
        <w:rFonts w:ascii="Arial" w:hAnsi="Arial"/>
        <w:sz w:val="18"/>
      </w:rPr>
      <w:t xml:space="preserve"> </w:t>
    </w:r>
    <w:r>
      <w:rPr>
        <w:rFonts w:ascii="Arial" w:hAnsi="Arial"/>
        <w:sz w:val="18"/>
      </w:rPr>
      <w:t xml:space="preserve">: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A478" w14:textId="77777777" w:rsidR="004D7F31" w:rsidRDefault="004D7F31">
      <w:r>
        <w:separator/>
      </w:r>
    </w:p>
  </w:footnote>
  <w:footnote w:type="continuationSeparator" w:id="0">
    <w:p w14:paraId="253B00AF" w14:textId="77777777" w:rsidR="004D7F31" w:rsidRDefault="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37C2F3EE" w:rsidR="00F6135B" w:rsidRDefault="00F15BCF" w:rsidP="00444C3B">
    <w:pPr>
      <w:pStyle w:val="En-tte"/>
      <w:rPr>
        <w:sz w:val="28"/>
        <w:szCs w:val="28"/>
      </w:rPr>
    </w:pPr>
    <w:r>
      <w:rPr>
        <w:rFonts w:ascii="Arial" w:hAnsi="Arial"/>
        <w:b/>
        <w:noProof/>
      </w:rPr>
      <w:drawing>
        <wp:anchor distT="0" distB="0" distL="114300" distR="114300" simplePos="0" relativeHeight="251658240" behindDoc="0" locked="0" layoutInCell="1" allowOverlap="1" wp14:anchorId="21180A3F" wp14:editId="42335B96">
          <wp:simplePos x="0" y="0"/>
          <wp:positionH relativeFrom="column">
            <wp:posOffset>3338830</wp:posOffset>
          </wp:positionH>
          <wp:positionV relativeFrom="paragraph">
            <wp:posOffset>133350</wp:posOffset>
          </wp:positionV>
          <wp:extent cx="2190750" cy="228600"/>
          <wp:effectExtent l="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anchor>
      </w:drawing>
    </w:r>
  </w:p>
  <w:p w14:paraId="65804AA8" w14:textId="2ADFB6DB" w:rsidR="00F6135B" w:rsidRPr="00A33469" w:rsidRDefault="00F15BCF" w:rsidP="00A33469">
    <w:pPr>
      <w:pStyle w:val="En-tte"/>
      <w:rPr>
        <w:rFonts w:ascii="Arial" w:hAnsi="Arial" w:cs="Arial"/>
        <w:b/>
      </w:rPr>
    </w:pPr>
    <w:r>
      <w:rPr>
        <w:rFonts w:ascii="Arial" w:hAnsi="Arial"/>
        <w:b/>
      </w:rPr>
      <w:t>Communiqué de presse</w:t>
    </w:r>
  </w:p>
  <w:p w14:paraId="05BD0C8A" w14:textId="77777777" w:rsidR="00A33469" w:rsidRDefault="00A33469" w:rsidP="00A33469">
    <w:pPr>
      <w:pStyle w:val="En-tte"/>
      <w:rPr>
        <w:sz w:val="18"/>
        <w:szCs w:val="18"/>
      </w:rPr>
    </w:pPr>
  </w:p>
  <w:p w14:paraId="4096C720" w14:textId="34AA2563" w:rsidR="007347D6" w:rsidRDefault="007347D6" w:rsidP="00A33469">
    <w:pPr>
      <w:pStyle w:val="En-tte"/>
      <w:rPr>
        <w:sz w:val="18"/>
        <w:szCs w:val="18"/>
      </w:rPr>
    </w:pPr>
  </w:p>
  <w:p w14:paraId="7E6927C5" w14:textId="77777777" w:rsidR="001757E6" w:rsidRPr="007347D6" w:rsidRDefault="001757E6"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63F"/>
    <w:multiLevelType w:val="hybridMultilevel"/>
    <w:tmpl w:val="9B4AFB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430F6053"/>
    <w:multiLevelType w:val="hybridMultilevel"/>
    <w:tmpl w:val="4BEC26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626A436C"/>
    <w:multiLevelType w:val="hybridMultilevel"/>
    <w:tmpl w:val="7E24892C"/>
    <w:lvl w:ilvl="0" w:tplc="F89AC2D8">
      <w:numFmt w:val="bullet"/>
      <w:lvlText w:val=""/>
      <w:lvlJc w:val="left"/>
      <w:pPr>
        <w:ind w:left="1080" w:hanging="360"/>
      </w:pPr>
      <w:rPr>
        <w:rFonts w:ascii="Wingdings" w:eastAsia="Calibri" w:hAnsi="Wingdings" w:cs="Times New Roman"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180362628">
    <w:abstractNumId w:val="1"/>
  </w:num>
  <w:num w:numId="2" w16cid:durableId="638152775">
    <w:abstractNumId w:val="0"/>
  </w:num>
  <w:num w:numId="3" w16cid:durableId="142988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32E"/>
    <w:rsid w:val="00007AEA"/>
    <w:rsid w:val="000205FC"/>
    <w:rsid w:val="0003489A"/>
    <w:rsid w:val="00052CCB"/>
    <w:rsid w:val="00061381"/>
    <w:rsid w:val="00075E15"/>
    <w:rsid w:val="00081E10"/>
    <w:rsid w:val="00085A93"/>
    <w:rsid w:val="00086902"/>
    <w:rsid w:val="000A10AB"/>
    <w:rsid w:val="000A790C"/>
    <w:rsid w:val="000C3E21"/>
    <w:rsid w:val="000D0E88"/>
    <w:rsid w:val="000E5B0C"/>
    <w:rsid w:val="000F3FD6"/>
    <w:rsid w:val="00107182"/>
    <w:rsid w:val="00110DAA"/>
    <w:rsid w:val="00121BB0"/>
    <w:rsid w:val="00133716"/>
    <w:rsid w:val="00136FF1"/>
    <w:rsid w:val="00156F23"/>
    <w:rsid w:val="00157C31"/>
    <w:rsid w:val="001606FB"/>
    <w:rsid w:val="001640EB"/>
    <w:rsid w:val="00173FF1"/>
    <w:rsid w:val="001757E6"/>
    <w:rsid w:val="001775C1"/>
    <w:rsid w:val="0018043B"/>
    <w:rsid w:val="00180878"/>
    <w:rsid w:val="00194B05"/>
    <w:rsid w:val="001C64C8"/>
    <w:rsid w:val="001D2114"/>
    <w:rsid w:val="001D27B2"/>
    <w:rsid w:val="001D2A19"/>
    <w:rsid w:val="001E2540"/>
    <w:rsid w:val="001E4EFC"/>
    <w:rsid w:val="001F5B87"/>
    <w:rsid w:val="002055E3"/>
    <w:rsid w:val="00214794"/>
    <w:rsid w:val="00222CC5"/>
    <w:rsid w:val="00226187"/>
    <w:rsid w:val="00235E86"/>
    <w:rsid w:val="002407CE"/>
    <w:rsid w:val="00251A82"/>
    <w:rsid w:val="00265035"/>
    <w:rsid w:val="002672D8"/>
    <w:rsid w:val="002675F6"/>
    <w:rsid w:val="0029260F"/>
    <w:rsid w:val="002932FD"/>
    <w:rsid w:val="002A3B80"/>
    <w:rsid w:val="002A4CCB"/>
    <w:rsid w:val="002A71B5"/>
    <w:rsid w:val="002B72A8"/>
    <w:rsid w:val="002C79B7"/>
    <w:rsid w:val="002D77CD"/>
    <w:rsid w:val="002E03EA"/>
    <w:rsid w:val="002E344C"/>
    <w:rsid w:val="002E4F09"/>
    <w:rsid w:val="0031205A"/>
    <w:rsid w:val="00330F39"/>
    <w:rsid w:val="003315A8"/>
    <w:rsid w:val="00340BF4"/>
    <w:rsid w:val="00346A7E"/>
    <w:rsid w:val="00362788"/>
    <w:rsid w:val="003641D8"/>
    <w:rsid w:val="00367B09"/>
    <w:rsid w:val="00377521"/>
    <w:rsid w:val="00382AC6"/>
    <w:rsid w:val="00386169"/>
    <w:rsid w:val="00393F92"/>
    <w:rsid w:val="00395A39"/>
    <w:rsid w:val="003A30EC"/>
    <w:rsid w:val="003A63DD"/>
    <w:rsid w:val="003A6489"/>
    <w:rsid w:val="004000F6"/>
    <w:rsid w:val="00402A3C"/>
    <w:rsid w:val="00412030"/>
    <w:rsid w:val="004237BC"/>
    <w:rsid w:val="00423E68"/>
    <w:rsid w:val="00424E09"/>
    <w:rsid w:val="0042695D"/>
    <w:rsid w:val="00434B51"/>
    <w:rsid w:val="00442732"/>
    <w:rsid w:val="00444C3B"/>
    <w:rsid w:val="00450350"/>
    <w:rsid w:val="004C6E63"/>
    <w:rsid w:val="004D2E83"/>
    <w:rsid w:val="004D3180"/>
    <w:rsid w:val="004D7F31"/>
    <w:rsid w:val="00504F0C"/>
    <w:rsid w:val="00513CB4"/>
    <w:rsid w:val="005256FB"/>
    <w:rsid w:val="00544C84"/>
    <w:rsid w:val="0054793B"/>
    <w:rsid w:val="005548EB"/>
    <w:rsid w:val="00554A29"/>
    <w:rsid w:val="005620A8"/>
    <w:rsid w:val="00565872"/>
    <w:rsid w:val="00583A9C"/>
    <w:rsid w:val="005A1EF1"/>
    <w:rsid w:val="005A2714"/>
    <w:rsid w:val="005A64FE"/>
    <w:rsid w:val="005C1902"/>
    <w:rsid w:val="005C4530"/>
    <w:rsid w:val="005D29DF"/>
    <w:rsid w:val="005E0A15"/>
    <w:rsid w:val="005E1322"/>
    <w:rsid w:val="005F2830"/>
    <w:rsid w:val="005F3ACC"/>
    <w:rsid w:val="006051A9"/>
    <w:rsid w:val="00612F9A"/>
    <w:rsid w:val="00626429"/>
    <w:rsid w:val="00632BBA"/>
    <w:rsid w:val="00644C77"/>
    <w:rsid w:val="00655BC5"/>
    <w:rsid w:val="00672366"/>
    <w:rsid w:val="0068251D"/>
    <w:rsid w:val="006873DD"/>
    <w:rsid w:val="006939A4"/>
    <w:rsid w:val="006A1FE2"/>
    <w:rsid w:val="006A2C6A"/>
    <w:rsid w:val="006A33D2"/>
    <w:rsid w:val="006A638D"/>
    <w:rsid w:val="006A6454"/>
    <w:rsid w:val="006B6BF4"/>
    <w:rsid w:val="006C6C91"/>
    <w:rsid w:val="006D0AFD"/>
    <w:rsid w:val="006D23CE"/>
    <w:rsid w:val="006D24C5"/>
    <w:rsid w:val="006D4475"/>
    <w:rsid w:val="006E1A60"/>
    <w:rsid w:val="006E67B5"/>
    <w:rsid w:val="006E6F83"/>
    <w:rsid w:val="006E74FC"/>
    <w:rsid w:val="00702764"/>
    <w:rsid w:val="007111B5"/>
    <w:rsid w:val="007155BE"/>
    <w:rsid w:val="00716176"/>
    <w:rsid w:val="00720158"/>
    <w:rsid w:val="00730F0F"/>
    <w:rsid w:val="00732034"/>
    <w:rsid w:val="007346FA"/>
    <w:rsid w:val="007347D6"/>
    <w:rsid w:val="00741AF3"/>
    <w:rsid w:val="007434F1"/>
    <w:rsid w:val="007533A5"/>
    <w:rsid w:val="00755CF0"/>
    <w:rsid w:val="00762246"/>
    <w:rsid w:val="00772F9B"/>
    <w:rsid w:val="00780CF0"/>
    <w:rsid w:val="007835CA"/>
    <w:rsid w:val="007858B5"/>
    <w:rsid w:val="007A2E8D"/>
    <w:rsid w:val="007B0E9E"/>
    <w:rsid w:val="007B3404"/>
    <w:rsid w:val="007B3992"/>
    <w:rsid w:val="007B5FD8"/>
    <w:rsid w:val="007B7D98"/>
    <w:rsid w:val="007C6109"/>
    <w:rsid w:val="007D5642"/>
    <w:rsid w:val="007D7195"/>
    <w:rsid w:val="007E2165"/>
    <w:rsid w:val="008009A2"/>
    <w:rsid w:val="0081048E"/>
    <w:rsid w:val="00814B95"/>
    <w:rsid w:val="008170AA"/>
    <w:rsid w:val="0082756D"/>
    <w:rsid w:val="008447BF"/>
    <w:rsid w:val="00873011"/>
    <w:rsid w:val="00886C37"/>
    <w:rsid w:val="008A599A"/>
    <w:rsid w:val="008B030A"/>
    <w:rsid w:val="008B2116"/>
    <w:rsid w:val="008B327B"/>
    <w:rsid w:val="008B4FF4"/>
    <w:rsid w:val="008D66CF"/>
    <w:rsid w:val="00900F5B"/>
    <w:rsid w:val="00903490"/>
    <w:rsid w:val="00906406"/>
    <w:rsid w:val="00951655"/>
    <w:rsid w:val="00952484"/>
    <w:rsid w:val="00953FFE"/>
    <w:rsid w:val="0096417D"/>
    <w:rsid w:val="00964474"/>
    <w:rsid w:val="00981FAA"/>
    <w:rsid w:val="0098240D"/>
    <w:rsid w:val="0099340C"/>
    <w:rsid w:val="00994EF0"/>
    <w:rsid w:val="00995C48"/>
    <w:rsid w:val="009A0AC8"/>
    <w:rsid w:val="009C500C"/>
    <w:rsid w:val="009D3B20"/>
    <w:rsid w:val="009F08D4"/>
    <w:rsid w:val="00A048D0"/>
    <w:rsid w:val="00A243E4"/>
    <w:rsid w:val="00A26BCF"/>
    <w:rsid w:val="00A27398"/>
    <w:rsid w:val="00A33469"/>
    <w:rsid w:val="00A50CF2"/>
    <w:rsid w:val="00A5299E"/>
    <w:rsid w:val="00A532AA"/>
    <w:rsid w:val="00A56911"/>
    <w:rsid w:val="00A7212E"/>
    <w:rsid w:val="00A723F7"/>
    <w:rsid w:val="00A7345A"/>
    <w:rsid w:val="00A74A61"/>
    <w:rsid w:val="00A86FFA"/>
    <w:rsid w:val="00A92AAE"/>
    <w:rsid w:val="00A94628"/>
    <w:rsid w:val="00AA0324"/>
    <w:rsid w:val="00AA4663"/>
    <w:rsid w:val="00AB548C"/>
    <w:rsid w:val="00AB6E71"/>
    <w:rsid w:val="00AC4FFA"/>
    <w:rsid w:val="00AC7677"/>
    <w:rsid w:val="00AD71EA"/>
    <w:rsid w:val="00AD7338"/>
    <w:rsid w:val="00AE6FB7"/>
    <w:rsid w:val="00AF56CD"/>
    <w:rsid w:val="00B03A21"/>
    <w:rsid w:val="00B04A50"/>
    <w:rsid w:val="00B05151"/>
    <w:rsid w:val="00B16EDD"/>
    <w:rsid w:val="00B2520B"/>
    <w:rsid w:val="00B36AD4"/>
    <w:rsid w:val="00B4098D"/>
    <w:rsid w:val="00B43758"/>
    <w:rsid w:val="00B45620"/>
    <w:rsid w:val="00B505AC"/>
    <w:rsid w:val="00B6301F"/>
    <w:rsid w:val="00B70286"/>
    <w:rsid w:val="00B71453"/>
    <w:rsid w:val="00B753FE"/>
    <w:rsid w:val="00B75773"/>
    <w:rsid w:val="00B76719"/>
    <w:rsid w:val="00BC5764"/>
    <w:rsid w:val="00BE48A7"/>
    <w:rsid w:val="00BF0472"/>
    <w:rsid w:val="00BF0679"/>
    <w:rsid w:val="00BF2519"/>
    <w:rsid w:val="00BF7C81"/>
    <w:rsid w:val="00C24835"/>
    <w:rsid w:val="00C27AC8"/>
    <w:rsid w:val="00C356E1"/>
    <w:rsid w:val="00C412E5"/>
    <w:rsid w:val="00C4401D"/>
    <w:rsid w:val="00C5525D"/>
    <w:rsid w:val="00C57D52"/>
    <w:rsid w:val="00C650D6"/>
    <w:rsid w:val="00C700F0"/>
    <w:rsid w:val="00C747E6"/>
    <w:rsid w:val="00C92091"/>
    <w:rsid w:val="00C95E15"/>
    <w:rsid w:val="00CB37E1"/>
    <w:rsid w:val="00CD313F"/>
    <w:rsid w:val="00CE253A"/>
    <w:rsid w:val="00CF0B58"/>
    <w:rsid w:val="00D06550"/>
    <w:rsid w:val="00D149F8"/>
    <w:rsid w:val="00D3161F"/>
    <w:rsid w:val="00D35720"/>
    <w:rsid w:val="00D469B2"/>
    <w:rsid w:val="00D67BD3"/>
    <w:rsid w:val="00D67FC7"/>
    <w:rsid w:val="00D93C5E"/>
    <w:rsid w:val="00DB1640"/>
    <w:rsid w:val="00DD00B2"/>
    <w:rsid w:val="00DE4BB1"/>
    <w:rsid w:val="00DE53FA"/>
    <w:rsid w:val="00E04E03"/>
    <w:rsid w:val="00E05F0F"/>
    <w:rsid w:val="00E612A3"/>
    <w:rsid w:val="00E62377"/>
    <w:rsid w:val="00E62EC5"/>
    <w:rsid w:val="00E63B6C"/>
    <w:rsid w:val="00E64DFF"/>
    <w:rsid w:val="00E76A59"/>
    <w:rsid w:val="00EA32EE"/>
    <w:rsid w:val="00EC6F81"/>
    <w:rsid w:val="00ED1EE7"/>
    <w:rsid w:val="00ED5A4E"/>
    <w:rsid w:val="00F078E3"/>
    <w:rsid w:val="00F15BCF"/>
    <w:rsid w:val="00F26363"/>
    <w:rsid w:val="00F2723A"/>
    <w:rsid w:val="00F3175A"/>
    <w:rsid w:val="00F35AE3"/>
    <w:rsid w:val="00F43073"/>
    <w:rsid w:val="00F466C5"/>
    <w:rsid w:val="00F4799B"/>
    <w:rsid w:val="00F6135B"/>
    <w:rsid w:val="00F66144"/>
    <w:rsid w:val="00F804D1"/>
    <w:rsid w:val="00F80D89"/>
    <w:rsid w:val="00F8257C"/>
    <w:rsid w:val="00F8633C"/>
    <w:rsid w:val="00F868AE"/>
    <w:rsid w:val="00F925B9"/>
    <w:rsid w:val="00F96952"/>
    <w:rsid w:val="00FB0CDE"/>
    <w:rsid w:val="00FB3165"/>
    <w:rsid w:val="00FD7EAB"/>
    <w:rsid w:val="00FF10FB"/>
    <w:rsid w:val="00FF1637"/>
    <w:rsid w:val="00FF1FBF"/>
    <w:rsid w:val="00FF5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412030"/>
    <w:rPr>
      <w:color w:val="605E5C"/>
      <w:shd w:val="clear" w:color="auto" w:fill="E1DFDD"/>
    </w:rPr>
  </w:style>
  <w:style w:type="paragraph" w:styleId="Paragraphedeliste">
    <w:name w:val="List Paragraph"/>
    <w:basedOn w:val="Normal"/>
    <w:uiPriority w:val="34"/>
    <w:qFormat/>
    <w:rsid w:val="00716176"/>
    <w:pPr>
      <w:ind w:left="720"/>
    </w:pPr>
    <w:rPr>
      <w:rFonts w:ascii="Calibri" w:eastAsiaTheme="minorHAnsi" w:hAnsi="Calibri" w:cs="Calibri"/>
      <w:sz w:val="22"/>
      <w:szCs w:val="22"/>
      <w:lang w:eastAsia="en-US"/>
    </w:rPr>
  </w:style>
  <w:style w:type="paragraph" w:styleId="Rvision">
    <w:name w:val="Revision"/>
    <w:hidden/>
    <w:uiPriority w:val="99"/>
    <w:semiHidden/>
    <w:rsid w:val="00BF0679"/>
    <w:rPr>
      <w:sz w:val="24"/>
      <w:szCs w:val="24"/>
    </w:rPr>
  </w:style>
  <w:style w:type="character" w:styleId="Marquedecommentaire">
    <w:name w:val="annotation reference"/>
    <w:basedOn w:val="Policepardfaut"/>
    <w:uiPriority w:val="99"/>
    <w:semiHidden/>
    <w:unhideWhenUsed/>
    <w:rsid w:val="00442732"/>
    <w:rPr>
      <w:sz w:val="16"/>
      <w:szCs w:val="16"/>
    </w:rPr>
  </w:style>
  <w:style w:type="paragraph" w:styleId="Commentaire">
    <w:name w:val="annotation text"/>
    <w:basedOn w:val="Normal"/>
    <w:link w:val="CommentaireCar"/>
    <w:uiPriority w:val="99"/>
    <w:unhideWhenUsed/>
    <w:rsid w:val="00442732"/>
    <w:rPr>
      <w:sz w:val="20"/>
      <w:szCs w:val="20"/>
    </w:rPr>
  </w:style>
  <w:style w:type="character" w:customStyle="1" w:styleId="CommentaireCar">
    <w:name w:val="Commentaire Car"/>
    <w:basedOn w:val="Policepardfaut"/>
    <w:link w:val="Commentaire"/>
    <w:uiPriority w:val="99"/>
    <w:rsid w:val="00442732"/>
  </w:style>
  <w:style w:type="paragraph" w:styleId="Objetducommentaire">
    <w:name w:val="annotation subject"/>
    <w:basedOn w:val="Commentaire"/>
    <w:next w:val="Commentaire"/>
    <w:link w:val="ObjetducommentaireCar"/>
    <w:uiPriority w:val="99"/>
    <w:semiHidden/>
    <w:unhideWhenUsed/>
    <w:rsid w:val="00442732"/>
    <w:rPr>
      <w:b/>
      <w:bCs/>
    </w:rPr>
  </w:style>
  <w:style w:type="character" w:customStyle="1" w:styleId="ObjetducommentaireCar">
    <w:name w:val="Objet du commentaire Car"/>
    <w:basedOn w:val="CommentaireCar"/>
    <w:link w:val="Objetducommentaire"/>
    <w:uiPriority w:val="99"/>
    <w:semiHidden/>
    <w:rsid w:val="00442732"/>
    <w:rPr>
      <w:b/>
      <w:bCs/>
    </w:rPr>
  </w:style>
  <w:style w:type="character" w:styleId="Lienhypertextesuivivisit">
    <w:name w:val="FollowedHyperlink"/>
    <w:basedOn w:val="Policepardfaut"/>
    <w:uiPriority w:val="99"/>
    <w:semiHidden/>
    <w:unhideWhenUsed/>
    <w:rsid w:val="007B3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fr_fr/newsroom/pressebild/1021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fr_fr/newsroom/pressebild/10211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0211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191342B2-201E-4114-BAAB-BA63EB12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4691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150 Jahre PÖTTINGER</vt:lpstr>
      <vt:lpstr>Presseinformation</vt:lpstr>
    </vt:vector>
  </TitlesOfParts>
  <Company>Poettinger Maschinenfabrik GmbH</Company>
  <LinksUpToDate>false</LinksUpToDate>
  <CharactersWithSpaces>5479</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Jahre PÖTTINGER</dc:title>
  <dc:subject>PÖTTINGER Landtechnik GmbH</dc:subject>
  <dc:creator>steiing</dc:creator>
  <cp:keywords/>
  <dc:description/>
  <cp:lastModifiedBy>Dutter Dorothee</cp:lastModifiedBy>
  <cp:revision>19</cp:revision>
  <cp:lastPrinted>2020-12-17T14:13:00Z</cp:lastPrinted>
  <dcterms:created xsi:type="dcterms:W3CDTF">2023-07-19T12:27:00Z</dcterms:created>
  <dcterms:modified xsi:type="dcterms:W3CDTF">2023-08-02T13:16:00Z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MediaServiceImageTags">
    <vt:lpwstr/>
  </property>
</Properties>
</file>